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65</w:t>
      </w:r>
    </w:p>
    <w:p>
      <w:r>
        <w:t>Bundesgericht (BGE), 1980-02-11, IT</w:t>
      </w:r>
    </w:p>
    <w:p>
      <w:r>
        <w:rPr>
          <w:b/>
        </w:rPr>
        <w:t xml:space="preserve">Quelle: </w:t>
      </w:r>
      <w:r>
        <w:t>https://mcp.opencaselaw.ch/entscheid/bge_106 IV 65</w:t>
      </w:r>
    </w:p>
    <w:p>
      <w:r>
        <w:t>FR: ATF 106 IV 65</w:t>
      </w:r>
    </w:p>
    <w:p>
      <w:r>
        <w:t>IT: DTF 106 IV 65</w:t>
      </w:r>
    </w:p>
    <w:p>
      <w:pPr>
        <w:pStyle w:val="Heading2"/>
      </w:pPr>
      <w:r>
        <w:t>Regeste</w:t>
      </w:r>
    </w:p>
    <w:p>
      <w:r>
        <w:t>Regeste 1. Art. 30 Abs. 1 OG. Die Unterschrift auf der Rückseite des Umschlags, in dem eine nicht unterzeichnete Rechtsschrift eingereicht wird, ersetzt rechtsgültig die fehlende Unterschrift (Bestätigung der Rechtsprechung) (Erw. 1). 2. Art. 20 VRV. Dass Motorfahrzeuge ohne Kontrollschilder geschleppt werden dürfen, heisst nicht, dass sie auch ohne Schilder auf öffentlichen Strassen oder Parkplätzen parkiert werden dürfen (Erw. 2). 3. Art. 34 StGB. Indessen kann sich auf Notstand berufen, wer wegen einer aufgetretenen Störung, die die sichere Fortsetzung der Schleppfahrt ausschliesst und nicht sogleich behoben werden kann, das geschleppte Motorfahrzeug ohne Schilder auf öffentlicher Strasse oder öffentlichem Parkplatz stehen lässt, solange die Behebung der Störung es erfordert (Erw. 4).</w:t>
      </w:r>
    </w:p>
    <w:p>
      <w:pPr>
        <w:pStyle w:val="Heading2"/>
      </w:pPr>
      <w:r>
        <w:t>Erwägungen</w:t>
      </w:r>
    </w:p>
    <w:p>
      <w:r>
        <w:rPr>
          <w:b/>
        </w:rPr>
        <w:t>E. 1</w:t>
      </w:r>
    </w:p>
    <w:p>
      <w:r>
        <w:t>Il ricorrente ha presentato dapprima il 21 dicembre 1979 la dichiarazione di ricorso per cassazione, e, successivamente, il 22 gennaio 1980, la motivazione dello stesso; la dichiarazione di ricorso non conteneva alcuna motivazione. Mentre la dichiarazione era debitamente firmata, l'atto contenente la motivazione non era sottoscritto. Tale omissione non può tuttavia nuocere al ricorrente e implicare l'inammissibilità del suo gravame, dato che la sua firma manoscritta risulta apposta a tergo della busta in cui l'atto con la motivazione è stato trasmesso: secondo la giurisprudenza del Tribunale federale ( DTF 102 IV 143 ; DTF 77 II 352 ), tale firma figurante sulla busta può validamente sostituire quella mancante nell'atto in essa contenuto.</w:t>
      </w:r>
    </w:p>
    <w:p>
      <w:r>
        <w:rPr>
          <w:b/>
        </w:rPr>
        <w:t>E. 2</w:t>
      </w:r>
    </w:p>
    <w:p>
      <w:r>
        <w:t>Nel suo gravame il ricorrente censura, come già aveva fatto nel corso della procedura in sede cantonale, una pretesa violazione dell' art. 1 CP , secondo il quale nessuno può essere punito per un fatto a cui non sia dalla legge espressamente comminata una pena. Il combinato disposto degli art. 20 e 96 dell'ordinanza sulle norme della circolazione stradale (ONCS), e dell'art. 103 cpv. 2 della legge federale sulla circolazione stradale costituisce tuttavia una base legale sufficiente per la punibilità del parcheggio su area pubblica di veicoli a motore sprovvisti di targhe. Né l'ambito di questa punibilità può essere limitato dall'assenza di una norma speciale che vieti il parcheggio senza targhe su area pubblica di veicoli a motore autorizzati ad essere rimorchiati su strada anche se sprovvisti di targhe. Che i veicoli a motore possano essere sprovvisti di targhe quando sono al traino con carrello non significa ancora che gli BGE 106 IV 65 S. 68 stessi veicoli possano anche essere parcheggiati per una certa durata senza targhe su aree pubbliche.</w:t>
      </w:r>
    </w:p>
    <w:p>
      <w:r>
        <w:rPr>
          <w:b/>
        </w:rPr>
        <w:t>E. 3</w:t>
      </w:r>
    </w:p>
    <w:p>
      <w:r>
        <w:t>Neppure il richiamo all' art. 18 CP , rinnovato in questa sede dal ricorrente, può giovargli. Egli sapeva infatti, o avrebbe in ogni modo dovuto sapere, che non possono essere posteggiati su area pubblica veicoli a motore sprovvisti di targhe. Ne segue che egli ha comunque violato, intenzionalmente o per negligenza, l'art. 20 ONCS.</w:t>
      </w:r>
    </w:p>
    <w:p>
      <w:r>
        <w:rPr>
          <w:b/>
        </w:rPr>
        <w:t>E. 4</w:t>
      </w:r>
    </w:p>
    <w:p>
      <w:r>
        <w:t>Il ricorrente invoca altresì l' art. 20 CP , ossia fa valere l'errore di diritto. La sua censura va intesa nel senso che egli assume d'essere stato convinto che, nelle circostanze concrete, il posteggio senza targhe dell'autovettura gli fosse consentito. In realtà, egli non versava in un errore di diritto, bensì aveva apprezzato esattamente la situazione giuridica. Come emerge dal decreto d'abbandono della Procura pubblica sottocenerina, egli aveva agito per ragioni di forza maggiore. Non potendo proseguire la marcia a causa del guasto del carrello, il ricorrente, soppesando correttamente i contrapposti interessi, aveva scelto la soluzione meno rischiosa, ossia quella di parcheggiare l'autovettura in un posteggio, fuori della strada percorsa dal traffico. Né vi sono ragioni per dubitare di quanto egli afferma - la sua versione dei fatti è stata d'altronde accettata dal Tribunale cantonale amministrativo - allorché dichiara d'essersi sforzato di porre rimedio a questa imprevista situazione irregolare. Egli si trovava, in altre parole, in stato di necessità ai sensi dell' art. 34 CP . Non gli può nuocere che, profano di diritto, non abbia invocato espressamente nel suo ricorso lo stato di necessità; che ad esso egli nondimeno si riferisca sostanzialmente, è desumibile dalla sua motivazione e dall'esemplare del decreto di abbandono allegato al ricorso. La decisione impugnata dev'essere pertanto annullata e la causa rinviata al Tribunale cantonale amministrativo perché assolva il ricorrente, potendo lo stesso beneficiare dell'esimente dello stato di necessità. Dispositiv Il Tribunale federale pronuncia: Il ricorso è accolto, la decisione impugnata è annullata e la causa è rinviata al Tribunale cantonale amministrativo perché assolva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